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333E37" w:rsidRDefault="00A52A8D" w:rsidP="00A52A8D">
      <w:pPr>
        <w:jc w:val="center"/>
        <w:rPr>
          <w:rFonts w:ascii="Arial" w:hAnsi="Arial"/>
          <w:sz w:val="14"/>
          <w:szCs w:val="14"/>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582DEB"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sidR="00333E37">
              <w:rPr>
                <w:rFonts w:ascii="Arial" w:hAnsi="Arial" w:cs="Arial"/>
                <w:b/>
                <w:sz w:val="20"/>
              </w:rPr>
              <w:t xml:space="preserve"> </w:t>
            </w:r>
          </w:p>
          <w:p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lastRenderedPageBreak/>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 xml:space="preserve">Please </w:t>
            </w:r>
            <w:r w:rsidR="008E3DF7">
              <w:rPr>
                <w:rFonts w:ascii="Arial" w:hAnsi="Arial" w:cs="Arial"/>
                <w:sz w:val="20"/>
              </w:rPr>
              <w:t>bear in mind</w:t>
            </w:r>
            <w:r w:rsidRPr="009C5815">
              <w:rPr>
                <w:rFonts w:ascii="Arial" w:hAnsi="Arial" w:cs="Arial"/>
                <w:sz w:val="20"/>
              </w:rPr>
              <w:t xml:space="preserve"> the Essential and Desirable criteria in the job description 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p w:rsidR="00582DEB" w:rsidRDefault="00582DEB"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w:t>
            </w:r>
            <w:r w:rsidRPr="00D30E86">
              <w:rPr>
                <w:rFonts w:ascii="Arial" w:hAnsi="Arial" w:cs="Arial"/>
                <w:i/>
                <w:sz w:val="20"/>
              </w:rPr>
              <w:lastRenderedPageBreak/>
              <w:t xml:space="preserve">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lastRenderedPageBreak/>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lastRenderedPageBreak/>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Pr="00582DEB" w:rsidRDefault="00582DEB" w:rsidP="00582DEB">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rsidR="009C5815" w:rsidRDefault="009C5815" w:rsidP="00582DEB">
      <w:pPr>
        <w:rPr>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bookmarkStart w:id="0" w:name="_GoBack"/>
      <w:bookmarkEnd w:id="0"/>
    </w:p>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0165EF"/>
    <w:rsid w:val="00333E37"/>
    <w:rsid w:val="00582DEB"/>
    <w:rsid w:val="00676DCB"/>
    <w:rsid w:val="008103E6"/>
    <w:rsid w:val="008E3DF7"/>
    <w:rsid w:val="009920C2"/>
    <w:rsid w:val="009C5815"/>
    <w:rsid w:val="00A52A8D"/>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5A02"/>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Tess Woolfenden</cp:lastModifiedBy>
  <cp:revision>7</cp:revision>
  <dcterms:created xsi:type="dcterms:W3CDTF">2019-05-10T13:17:00Z</dcterms:created>
  <dcterms:modified xsi:type="dcterms:W3CDTF">2019-06-28T10:30:00Z</dcterms:modified>
</cp:coreProperties>
</file>